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bookmarkStart w:id="0" w:name="OLE_LINK12"/>
      <w:bookmarkStart w:id="1" w:name="OLE_LINK11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16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黑体" w:hAnsi="黑体" w:eastAsia="黑体" w:cs="黑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黑体" w:hAnsi="黑体" w:eastAsia="黑体" w:cs="黑体"/>
          <w:b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</w:rPr>
        <w:t>沙虫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黑体" w:cs="Times New Roman"/>
          <w:bCs/>
          <w:kern w:val="0"/>
          <w:szCs w:val="24"/>
        </w:rPr>
      </w:pPr>
      <w:bookmarkStart w:id="2" w:name="_GoBack"/>
      <w:r>
        <w:rPr>
          <w:rFonts w:hint="default" w:ascii="Times New Roman" w:hAnsi="Times New Roman" w:eastAsia="黑体" w:cs="Times New Roman"/>
          <w:bCs/>
          <w:kern w:val="0"/>
          <w:szCs w:val="24"/>
        </w:rPr>
        <w:t>Shachong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/>
          <w:color w:val="000000"/>
        </w:rPr>
      </w:pPr>
      <w:r>
        <w:rPr>
          <w:rFonts w:ascii="Times New Roman" w:hAnsi="Times New Roman" w:cs="Times New Roman"/>
          <w:b/>
          <w:kern w:val="0"/>
          <w:sz w:val="28"/>
          <w:szCs w:val="28"/>
        </w:rPr>
        <w:t>SIPUNCULUS NUDUS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Cs/>
          <w:kern w:val="0"/>
          <w:szCs w:val="24"/>
        </w:rPr>
      </w:pPr>
    </w:p>
    <w:bookmarkEnd w:id="0"/>
    <w:bookmarkEnd w:id="1"/>
    <w:p>
      <w:pPr>
        <w:ind w:firstLine="480" w:firstLineChars="200"/>
        <w:jc w:val="left"/>
        <w:rPr>
          <w:rFonts w:hint="default" w:ascii="Times New Roman" w:hAnsi="Times New Roman" w:eastAsia="宋体"/>
          <w:color w:val="000000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Cs w:val="24"/>
        </w:rPr>
        <w:t>本品为方格星虫科动物裸体方格星虫</w:t>
      </w:r>
      <w:r>
        <w:rPr>
          <w:rFonts w:hint="eastAsia" w:ascii="Times New Roman" w:hAnsi="Times New Roman"/>
          <w:b/>
          <w:bCs/>
          <w:color w:val="000000"/>
          <w:szCs w:val="24"/>
        </w:rPr>
        <w:t xml:space="preserve"> </w:t>
      </w:r>
      <w:r>
        <w:rPr>
          <w:rFonts w:hint="eastAsia" w:ascii="Times New Roman" w:hAnsi="Times New Roman"/>
          <w:i/>
          <w:iCs/>
          <w:color w:val="000000"/>
          <w:szCs w:val="24"/>
        </w:rPr>
        <w:t>Sipunculus</w:t>
      </w:r>
      <w:r>
        <w:rPr>
          <w:rFonts w:hint="eastAsia" w:ascii="Times New Roman" w:hAnsi="Times New Roman"/>
          <w:color w:val="000000"/>
          <w:szCs w:val="24"/>
        </w:rPr>
        <w:t xml:space="preserve"> nudus L.的干燥体。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全年可采，去内脏，洗净，干燥。</w:t>
      </w:r>
    </w:p>
    <w:p>
      <w:pPr>
        <w:ind w:firstLine="480" w:firstLineChars="200"/>
        <w:jc w:val="left"/>
        <w:rPr>
          <w:rFonts w:hint="eastAsia" w:ascii="Times New Roman" w:hAnsi="Times New Roman" w:eastAsiaTheme="minorEastAsia" w:cstheme="minorEastAsia"/>
          <w:bCs/>
          <w:color w:val="000000"/>
          <w:kern w:val="0"/>
        </w:rPr>
      </w:pPr>
      <w:r>
        <w:rPr>
          <w:rFonts w:hint="eastAsia" w:ascii="Times New Roman" w:hAnsi="Times New Roman" w:eastAsia="黑体"/>
          <w:bCs/>
          <w:kern w:val="0"/>
          <w:lang w:val="zh-CN"/>
        </w:rPr>
        <w:t>【性状】</w:t>
      </w:r>
      <w:r>
        <w:rPr>
          <w:rFonts w:hint="eastAsia" w:ascii="Times New Roman" w:hAnsi="Times New Roman" w:eastAsiaTheme="minorEastAsia" w:cstheme="minorEastAsia"/>
          <w:bCs/>
          <w:kern w:val="0"/>
        </w:rPr>
        <w:t>本品呈扁平长条形，表面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黄白</w:t>
      </w:r>
      <w:r>
        <w:rPr>
          <w:rFonts w:hint="eastAsia" w:ascii="Times New Roman" w:hAnsi="Times New Roman" w:eastAsiaTheme="minorEastAsia" w:cstheme="minorEastAsia"/>
          <w:bCs/>
          <w:kern w:val="0"/>
        </w:rPr>
        <w:t>色至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黄棕</w:t>
      </w:r>
      <w:r>
        <w:rPr>
          <w:rFonts w:hint="eastAsia" w:ascii="Times New Roman" w:hAnsi="Times New Roman" w:eastAsiaTheme="minorEastAsia" w:cstheme="minorEastAsia"/>
          <w:bCs/>
          <w:kern w:val="0"/>
        </w:rPr>
        <w:t>色，长5～20cm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，</w:t>
      </w:r>
      <w:r>
        <w:rPr>
          <w:rFonts w:hint="eastAsia" w:ascii="Times New Roman" w:hAnsi="Times New Roman" w:eastAsiaTheme="minorEastAsia" w:cstheme="minorEastAsia"/>
          <w:bCs/>
          <w:kern w:val="0"/>
        </w:rPr>
        <w:t>宽0.5～1.5cm。体表具细密环节，体壁纵肌细密成束，与环肌交错排列，形成方块格子状花纹</w:t>
      </w:r>
      <w:r>
        <w:rPr>
          <w:rFonts w:hint="eastAsia" w:ascii="Times New Roman" w:hAnsi="Times New Roman" w:eastAsiaTheme="minorEastAsia" w:cstheme="minorEastAsia"/>
          <w:bCs/>
          <w:kern w:val="0"/>
          <w:lang w:eastAsia="zh-CN"/>
        </w:rPr>
        <w:t>。</w:t>
      </w:r>
      <w:r>
        <w:rPr>
          <w:rFonts w:hint="eastAsia" w:ascii="Times New Roman" w:hAnsi="Times New Roman" w:eastAsiaTheme="minorEastAsia" w:cstheme="minorEastAsia"/>
          <w:bCs/>
          <w:kern w:val="0"/>
        </w:rPr>
        <w:t>前端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可见</w:t>
      </w:r>
      <w:r>
        <w:rPr>
          <w:rFonts w:hint="eastAsia" w:ascii="Times New Roman" w:hAnsi="Times New Roman" w:eastAsiaTheme="minorEastAsia" w:cstheme="minorEastAsia"/>
          <w:bCs/>
          <w:kern w:val="0"/>
        </w:rPr>
        <w:t>爪状收吻肌，偶断裂</w:t>
      </w:r>
      <w:r>
        <w:rPr>
          <w:rFonts w:hint="eastAsia" w:ascii="Times New Roman" w:hAnsi="Times New Roman" w:eastAsiaTheme="minorEastAsia" w:cstheme="minorEastAsia"/>
          <w:bCs/>
          <w:kern w:val="0"/>
          <w:lang w:val="en-US" w:eastAsia="zh-CN"/>
        </w:rPr>
        <w:t>脱落</w:t>
      </w:r>
      <w:r>
        <w:rPr>
          <w:rFonts w:hint="eastAsia" w:ascii="Times New Roman" w:hAnsi="Times New Roman" w:eastAsiaTheme="minorEastAsia" w:cstheme="minorEastAsia"/>
          <w:bCs/>
          <w:kern w:val="0"/>
        </w:rPr>
        <w:t>。体轻，质脆，易折断。气微腥，味微咸。</w:t>
      </w:r>
    </w:p>
    <w:p>
      <w:pPr>
        <w:ind w:firstLine="480" w:firstLineChars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eastAsia="黑体"/>
          <w:color w:val="000000"/>
        </w:rPr>
        <w:t>【鉴别】</w:t>
      </w:r>
      <w:r>
        <w:rPr>
          <w:rFonts w:hint="eastAsia" w:ascii="Times New Roman" w:hAnsi="Times New Roman" w:cs="Times New Roman"/>
          <w:szCs w:val="24"/>
        </w:rPr>
        <w:t>取本品粉末1g，加60%乙醇50ml，超声处理30分钟，滤过，滤液蒸干，残渣加甲醇10 ml使溶解，取上清液作为供试品溶液。另取沙虫对照药材1g，同法制成对照药材溶液。照薄层色谱法（《中国药典》2025年版通则0502）试验，吸取上述两种溶液各2～4</w:t>
      </w:r>
      <w:r>
        <w:rPr>
          <w:rFonts w:ascii="Times New Roman" w:hAnsi="Times New Roman" w:cs="Times New Roman"/>
          <w:szCs w:val="24"/>
        </w:rPr>
        <w:t>μ</w:t>
      </w:r>
      <w:r>
        <w:rPr>
          <w:rFonts w:hint="eastAsia" w:ascii="Times New Roman" w:hAnsi="Times New Roman" w:cs="Times New Roman"/>
          <w:szCs w:val="24"/>
        </w:rPr>
        <w:t>l，分别点于同一硅胶G薄层板上，以正丁醇-</w:t>
      </w:r>
      <w:r>
        <w:rPr>
          <w:rFonts w:hint="eastAsia" w:ascii="Times New Roman" w:hAnsi="Times New Roman" w:cs="Times New Roman"/>
          <w:szCs w:val="24"/>
          <w:lang w:eastAsia="zh-CN"/>
        </w:rPr>
        <w:t>甲醇</w:t>
      </w:r>
      <w:r>
        <w:rPr>
          <w:rFonts w:hint="eastAsia" w:ascii="Times New Roman" w:hAnsi="Times New Roman" w:cs="Times New Roman"/>
          <w:szCs w:val="24"/>
        </w:rPr>
        <w:t>-</w:t>
      </w:r>
      <w:r>
        <w:rPr>
          <w:rFonts w:hint="eastAsia" w:ascii="Times New Roman" w:hAnsi="Times New Roman" w:cs="Times New Roman"/>
          <w:szCs w:val="24"/>
          <w:lang w:eastAsia="zh-CN"/>
        </w:rPr>
        <w:t>冰醋酸</w:t>
      </w:r>
      <w:r>
        <w:rPr>
          <w:rFonts w:hint="eastAsia" w:ascii="Times New Roman" w:hAnsi="Times New Roman" w:cs="Times New Roman"/>
          <w:szCs w:val="24"/>
        </w:rPr>
        <w:t>-水（8:</w:t>
      </w:r>
      <w:r>
        <w:rPr>
          <w:rFonts w:hint="eastAsia" w:ascii="Times New Roman" w:hAnsi="Times New Roman" w:cs="Times New Roman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Cs w:val="24"/>
        </w:rPr>
        <w:t>:</w:t>
      </w:r>
      <w:r>
        <w:rPr>
          <w:rFonts w:hint="eastAsia" w:ascii="Times New Roman" w:hAnsi="Times New Roman" w:cs="Times New Roman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szCs w:val="24"/>
        </w:rPr>
        <w:t>:3）为展开剂，展开，取出，晾干，喷以茚三酮试液，在105℃加热至斑点显色清晰。供试品色谱中，在与对照药材色谱相应的位置上，显相同颜色的斑点。</w:t>
      </w:r>
    </w:p>
    <w:p>
      <w:pPr>
        <w:ind w:firstLine="480" w:firstLineChars="200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【检查】水分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</w:t>
      </w:r>
      <w:r>
        <w:rPr>
          <w:rFonts w:hint="eastAsia" w:ascii="Times New Roman" w:hAnsi="Times New Roman" w:cs="宋体"/>
          <w:color w:val="000000"/>
          <w:lang w:val="en-US" w:eastAsia="zh-CN"/>
        </w:rPr>
        <w:t>2</w:t>
      </w:r>
      <w:r>
        <w:rPr>
          <w:rFonts w:hint="eastAsia" w:ascii="Times New Roman" w:hAnsi="Times New Roman" w:cs="宋体"/>
          <w:color w:val="000000"/>
        </w:rPr>
        <w:t>.0%（《中国药典》2025年版通则0832第二法）。</w:t>
      </w:r>
    </w:p>
    <w:p>
      <w:pPr>
        <w:ind w:firstLine="480" w:firstLineChars="200"/>
        <w:jc w:val="left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总灰分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不得过10.0%（《中国药典》2025年版通则2302）。</w:t>
      </w:r>
    </w:p>
    <w:p>
      <w:pPr>
        <w:ind w:firstLine="480" w:firstLineChars="200"/>
        <w:jc w:val="left"/>
        <w:rPr>
          <w:rFonts w:ascii="Times New Roman" w:hAnsi="Times New Roman" w:cs="宋体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酸不溶性灰分</w:t>
      </w:r>
      <w:r>
        <w:rPr>
          <w:rFonts w:hint="eastAsia" w:ascii="Times New Roman" w:hAnsi="Times New Roman" w:cs="宋体"/>
          <w:b w:val="0"/>
          <w:bCs w:val="0"/>
          <w:color w:val="000000"/>
        </w:rPr>
        <w:t xml:space="preserve"> </w:t>
      </w:r>
      <w:r>
        <w:rPr>
          <w:rFonts w:hint="eastAsia" w:ascii="Times New Roman" w:hAnsi="Times New Roman" w:cs="宋体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000000"/>
        </w:rPr>
        <w:t>不得过1.0%（《中国药典》2025年版通则2302）。</w:t>
      </w:r>
    </w:p>
    <w:p>
      <w:pPr>
        <w:ind w:firstLine="480" w:firstLineChars="200"/>
        <w:jc w:val="left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【浸出物】</w:t>
      </w:r>
      <w:r>
        <w:rPr>
          <w:rFonts w:hint="eastAsia" w:ascii="Times New Roman" w:hAnsi="Times New Roman" w:cs="宋体"/>
          <w:color w:val="000000"/>
        </w:rPr>
        <w:t>照水溶性浸出物测定法（《中国药典》2025年版通则2201）项下的热浸法测定，不得少于35.0%。</w:t>
      </w:r>
    </w:p>
    <w:p>
      <w:pPr>
        <w:ind w:firstLine="48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甘、</w:t>
      </w:r>
      <w:r>
        <w:rPr>
          <w:rFonts w:hint="eastAsia" w:ascii="Times New Roman" w:hAnsi="Times New Roman" w:cs="Times New Roman"/>
          <w:color w:val="000000"/>
        </w:rPr>
        <w:t>咸，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平</w:t>
      </w:r>
      <w:r>
        <w:rPr>
          <w:rFonts w:hint="eastAsia" w:ascii="Times New Roman" w:hAnsi="Times New Roman" w:cs="Times New Roman"/>
          <w:color w:val="000000"/>
        </w:rPr>
        <w:t>。归肾、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脾、</w:t>
      </w:r>
      <w:r>
        <w:rPr>
          <w:rFonts w:hint="eastAsia" w:ascii="Times New Roman" w:hAnsi="Times New Roman" w:cs="Times New Roman"/>
          <w:color w:val="000000"/>
        </w:rPr>
        <w:t>肺经</w:t>
      </w:r>
      <w:r>
        <w:rPr>
          <w:rFonts w:ascii="Times New Roman" w:hAnsi="Times New Roman" w:cs="Times New Roman"/>
          <w:color w:val="000000"/>
        </w:rPr>
        <w:t>。</w:t>
      </w:r>
    </w:p>
    <w:p>
      <w:pPr>
        <w:ind w:firstLine="480" w:firstLineChars="200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黑体" w:hAnsi="黑体" w:eastAsia="黑体" w:cs="黑体"/>
          <w:color w:val="000000"/>
        </w:rPr>
        <w:t>【功能与主治】</w:t>
      </w:r>
      <w:r>
        <w:rPr>
          <w:rFonts w:hint="eastAsia" w:ascii="Times New Roman" w:hAnsi="Times New Roman" w:cs="Times New Roman"/>
          <w:kern w:val="0"/>
          <w:szCs w:val="24"/>
        </w:rPr>
        <w:t>滋阴降火，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健脾益肺，补肾固涩</w:t>
      </w:r>
      <w:r>
        <w:rPr>
          <w:rFonts w:hint="eastAsia" w:ascii="Times New Roman" w:hAnsi="Times New Roman" w:cs="Times New Roman"/>
          <w:kern w:val="0"/>
          <w:szCs w:val="24"/>
        </w:rPr>
        <w:t>。用于阴虚盗汗，骨蒸潮热，牙龈肿痛，肺痨咳嗽，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食欲不振，</w:t>
      </w:r>
      <w:r>
        <w:rPr>
          <w:rFonts w:hint="eastAsia" w:ascii="Times New Roman" w:hAnsi="Times New Roman" w:cs="Times New Roman"/>
          <w:kern w:val="0"/>
          <w:szCs w:val="24"/>
        </w:rPr>
        <w:t>夜尿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频数</w:t>
      </w:r>
      <w:r>
        <w:rPr>
          <w:rFonts w:hint="eastAsia" w:ascii="Times New Roman" w:hAnsi="Times New Roman" w:cs="Times New Roman"/>
          <w:kern w:val="0"/>
          <w:szCs w:val="24"/>
        </w:rPr>
        <w:t>。</w:t>
      </w:r>
    </w:p>
    <w:p>
      <w:pPr>
        <w:ind w:firstLine="48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【用法与用量】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10～25</w:t>
      </w:r>
      <w:r>
        <w:rPr>
          <w:rFonts w:hint="eastAsia" w:ascii="Times New Roman" w:hAnsi="Times New Roman" w:cs="Times New Roman"/>
          <w:color w:val="000000"/>
        </w:rPr>
        <w:t>g。</w:t>
      </w:r>
    </w:p>
    <w:p>
      <w:pPr>
        <w:ind w:firstLine="480" w:firstLineChars="200"/>
        <w:rPr>
          <w:rFonts w:hint="eastAsia" w:hAnsi="Calibri" w:cs="Times New Roman"/>
          <w:color w:val="000000"/>
        </w:rPr>
      </w:pPr>
      <w:r>
        <w:rPr>
          <w:rFonts w:hint="eastAsia" w:ascii="黑体" w:hAnsi="黑体" w:eastAsia="黑体" w:cs="黑体"/>
          <w:color w:val="000000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Times New Roman" w:cs="Times New Roman"/>
          <w:color w:val="00000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DC"/>
    <w:rsid w:val="000376AE"/>
    <w:rsid w:val="00064AF2"/>
    <w:rsid w:val="000E2EFA"/>
    <w:rsid w:val="00140473"/>
    <w:rsid w:val="001D3239"/>
    <w:rsid w:val="001E724D"/>
    <w:rsid w:val="001F04A9"/>
    <w:rsid w:val="00245574"/>
    <w:rsid w:val="002522E4"/>
    <w:rsid w:val="002533FB"/>
    <w:rsid w:val="00354EEF"/>
    <w:rsid w:val="003D7F1E"/>
    <w:rsid w:val="003F368C"/>
    <w:rsid w:val="00414934"/>
    <w:rsid w:val="00465D53"/>
    <w:rsid w:val="00482F3B"/>
    <w:rsid w:val="00494AC2"/>
    <w:rsid w:val="004B7B00"/>
    <w:rsid w:val="004E0B09"/>
    <w:rsid w:val="0050047C"/>
    <w:rsid w:val="00500EA8"/>
    <w:rsid w:val="005418DE"/>
    <w:rsid w:val="00563B81"/>
    <w:rsid w:val="005A5655"/>
    <w:rsid w:val="005D477D"/>
    <w:rsid w:val="0061605F"/>
    <w:rsid w:val="006B684B"/>
    <w:rsid w:val="007A6BA0"/>
    <w:rsid w:val="007F29F5"/>
    <w:rsid w:val="008353D0"/>
    <w:rsid w:val="0089031F"/>
    <w:rsid w:val="008B717D"/>
    <w:rsid w:val="008E1CC3"/>
    <w:rsid w:val="008F5AA6"/>
    <w:rsid w:val="00900835"/>
    <w:rsid w:val="0091734C"/>
    <w:rsid w:val="009A1964"/>
    <w:rsid w:val="009F3F01"/>
    <w:rsid w:val="00A73251"/>
    <w:rsid w:val="00B25AA2"/>
    <w:rsid w:val="00B968BA"/>
    <w:rsid w:val="00BB61DC"/>
    <w:rsid w:val="00BD655D"/>
    <w:rsid w:val="00C31EA5"/>
    <w:rsid w:val="00C47FE2"/>
    <w:rsid w:val="00CA1C73"/>
    <w:rsid w:val="00CD456D"/>
    <w:rsid w:val="00D44DDF"/>
    <w:rsid w:val="00D928A1"/>
    <w:rsid w:val="00DC7ADA"/>
    <w:rsid w:val="00DE1962"/>
    <w:rsid w:val="00DE6203"/>
    <w:rsid w:val="00DF2599"/>
    <w:rsid w:val="00DF3EF5"/>
    <w:rsid w:val="00E66437"/>
    <w:rsid w:val="00E76CD0"/>
    <w:rsid w:val="00EA5B80"/>
    <w:rsid w:val="00EB58EA"/>
    <w:rsid w:val="00EB7CAE"/>
    <w:rsid w:val="00EE6EA5"/>
    <w:rsid w:val="00F26DC4"/>
    <w:rsid w:val="00F93982"/>
    <w:rsid w:val="00FB03EF"/>
    <w:rsid w:val="00FB5E98"/>
    <w:rsid w:val="0148207D"/>
    <w:rsid w:val="01712F37"/>
    <w:rsid w:val="02C44E0D"/>
    <w:rsid w:val="02E334E5"/>
    <w:rsid w:val="065345EF"/>
    <w:rsid w:val="06EE06AA"/>
    <w:rsid w:val="09092C22"/>
    <w:rsid w:val="09AE5696"/>
    <w:rsid w:val="0BA61553"/>
    <w:rsid w:val="0C6423CB"/>
    <w:rsid w:val="0CD619C5"/>
    <w:rsid w:val="0D600C21"/>
    <w:rsid w:val="0DBB0313"/>
    <w:rsid w:val="0F8548F8"/>
    <w:rsid w:val="0FE11495"/>
    <w:rsid w:val="10A818CA"/>
    <w:rsid w:val="11877D9F"/>
    <w:rsid w:val="11EA5AEF"/>
    <w:rsid w:val="125735A8"/>
    <w:rsid w:val="12661EAB"/>
    <w:rsid w:val="13AB6375"/>
    <w:rsid w:val="13B80076"/>
    <w:rsid w:val="147C10A3"/>
    <w:rsid w:val="14863CD0"/>
    <w:rsid w:val="163D0D06"/>
    <w:rsid w:val="16DE7DF3"/>
    <w:rsid w:val="17614F29"/>
    <w:rsid w:val="18194E5B"/>
    <w:rsid w:val="19CC487B"/>
    <w:rsid w:val="1DF2650F"/>
    <w:rsid w:val="1E1C7453"/>
    <w:rsid w:val="1E6B36A9"/>
    <w:rsid w:val="1E9F430C"/>
    <w:rsid w:val="20C0056A"/>
    <w:rsid w:val="235351CD"/>
    <w:rsid w:val="24EF7670"/>
    <w:rsid w:val="25875AFA"/>
    <w:rsid w:val="26E01574"/>
    <w:rsid w:val="2A9071FF"/>
    <w:rsid w:val="2B1C0A93"/>
    <w:rsid w:val="2DF93C6B"/>
    <w:rsid w:val="2E54763A"/>
    <w:rsid w:val="2F4F1437"/>
    <w:rsid w:val="2F594063"/>
    <w:rsid w:val="2F805A94"/>
    <w:rsid w:val="30145DB5"/>
    <w:rsid w:val="309955D1"/>
    <w:rsid w:val="31684A32"/>
    <w:rsid w:val="368F7240"/>
    <w:rsid w:val="371A67CE"/>
    <w:rsid w:val="37C74D5F"/>
    <w:rsid w:val="382E68BB"/>
    <w:rsid w:val="39EF792E"/>
    <w:rsid w:val="3BC22796"/>
    <w:rsid w:val="3C0B2B89"/>
    <w:rsid w:val="3C7F0E81"/>
    <w:rsid w:val="3DCB0822"/>
    <w:rsid w:val="3E4B1B85"/>
    <w:rsid w:val="3E895FE7"/>
    <w:rsid w:val="3EE77F4F"/>
    <w:rsid w:val="41087697"/>
    <w:rsid w:val="44185E43"/>
    <w:rsid w:val="446E0159"/>
    <w:rsid w:val="45260C1F"/>
    <w:rsid w:val="49090450"/>
    <w:rsid w:val="4A0155CC"/>
    <w:rsid w:val="4B2A4031"/>
    <w:rsid w:val="4B423A85"/>
    <w:rsid w:val="4B46773A"/>
    <w:rsid w:val="4B813CEC"/>
    <w:rsid w:val="4C6267F5"/>
    <w:rsid w:val="4C6D0CF6"/>
    <w:rsid w:val="4C7B1665"/>
    <w:rsid w:val="4CB15087"/>
    <w:rsid w:val="4E162F01"/>
    <w:rsid w:val="4E802F63"/>
    <w:rsid w:val="4FF43C08"/>
    <w:rsid w:val="508D1967"/>
    <w:rsid w:val="50C15CD6"/>
    <w:rsid w:val="51080BF9"/>
    <w:rsid w:val="531B7E68"/>
    <w:rsid w:val="53397B84"/>
    <w:rsid w:val="54FE4BE1"/>
    <w:rsid w:val="55147C23"/>
    <w:rsid w:val="55E97640"/>
    <w:rsid w:val="55F304BE"/>
    <w:rsid w:val="5814296E"/>
    <w:rsid w:val="595B4CF8"/>
    <w:rsid w:val="595B6AA6"/>
    <w:rsid w:val="5A3D7F5A"/>
    <w:rsid w:val="5B417F1E"/>
    <w:rsid w:val="5BE014E5"/>
    <w:rsid w:val="5D5A7075"/>
    <w:rsid w:val="5D656145"/>
    <w:rsid w:val="5DFA34A7"/>
    <w:rsid w:val="5E211941"/>
    <w:rsid w:val="5E714948"/>
    <w:rsid w:val="5E79352B"/>
    <w:rsid w:val="5E875C48"/>
    <w:rsid w:val="5F0E6369"/>
    <w:rsid w:val="5F3A53B0"/>
    <w:rsid w:val="5F4B3119"/>
    <w:rsid w:val="5FCA04E2"/>
    <w:rsid w:val="606326E4"/>
    <w:rsid w:val="60C74A21"/>
    <w:rsid w:val="61DA0784"/>
    <w:rsid w:val="62403327"/>
    <w:rsid w:val="62797F9D"/>
    <w:rsid w:val="62A74B0A"/>
    <w:rsid w:val="65515201"/>
    <w:rsid w:val="65674A25"/>
    <w:rsid w:val="6714552C"/>
    <w:rsid w:val="6810471B"/>
    <w:rsid w:val="6817628E"/>
    <w:rsid w:val="68421AF2"/>
    <w:rsid w:val="691B1DAE"/>
    <w:rsid w:val="6C0F54CE"/>
    <w:rsid w:val="6D2B458A"/>
    <w:rsid w:val="6D4E1A13"/>
    <w:rsid w:val="6E55366C"/>
    <w:rsid w:val="71551BD5"/>
    <w:rsid w:val="72966949"/>
    <w:rsid w:val="72E90827"/>
    <w:rsid w:val="75A148BD"/>
    <w:rsid w:val="75B71DA1"/>
    <w:rsid w:val="786077DD"/>
    <w:rsid w:val="7A61783D"/>
    <w:rsid w:val="7AAF05A8"/>
    <w:rsid w:val="7AC758F2"/>
    <w:rsid w:val="7BB7C19D"/>
    <w:rsid w:val="7E10135E"/>
    <w:rsid w:val="7E6416AA"/>
    <w:rsid w:val="7EAB552B"/>
    <w:rsid w:val="7EE84089"/>
    <w:rsid w:val="7F686F78"/>
    <w:rsid w:val="7FA966FF"/>
    <w:rsid w:val="D07BD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rFonts w:cs="Times New Roman"/>
      <w:szCs w:val="20"/>
    </w:rPr>
  </w:style>
  <w:style w:type="paragraph" w:styleId="6">
    <w:name w:val="Balloon Text"/>
    <w:basedOn w:val="1"/>
    <w:link w:val="24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paragraph" w:styleId="9">
    <w:name w:val="annotation subject"/>
    <w:basedOn w:val="5"/>
    <w:next w:val="5"/>
    <w:link w:val="28"/>
    <w:qFormat/>
    <w:uiPriority w:val="0"/>
    <w:rPr>
      <w:rFonts w:cstheme="minorBidi"/>
      <w:b/>
      <w:bCs/>
      <w:szCs w:val="22"/>
    </w:r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标题 2 字符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4">
    <w:name w:val="标题 1 字符"/>
    <w:basedOn w:val="11"/>
    <w:link w:val="2"/>
    <w:qFormat/>
    <w:uiPriority w:val="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15">
    <w:name w:val="标题 3 字符"/>
    <w:basedOn w:val="11"/>
    <w:link w:val="4"/>
    <w:semiHidden/>
    <w:qFormat/>
    <w:uiPriority w:val="9"/>
    <w:rPr>
      <w:rFonts w:ascii="宋体" w:hAnsi="宋体" w:eastAsia="宋体" w:cs="Times New Roman"/>
      <w:b/>
      <w:bCs/>
      <w:kern w:val="0"/>
      <w:sz w:val="32"/>
      <w:szCs w:val="32"/>
    </w:rPr>
  </w:style>
  <w:style w:type="paragraph" w:customStyle="1" w:styleId="16">
    <w:name w:val="封面文字"/>
    <w:link w:val="17"/>
    <w:qFormat/>
    <w:uiPriority w:val="0"/>
    <w:rPr>
      <w:rFonts w:ascii="宋体" w:hAnsi="宋体" w:eastAsia="宋体" w:cs="Times New Roman"/>
      <w:sz w:val="21"/>
      <w:szCs w:val="28"/>
      <w:lang w:val="en-US" w:eastAsia="zh-CN" w:bidi="ar-SA"/>
    </w:rPr>
  </w:style>
  <w:style w:type="character" w:customStyle="1" w:styleId="17">
    <w:name w:val="封面文字 字符"/>
    <w:basedOn w:val="11"/>
    <w:link w:val="16"/>
    <w:qFormat/>
    <w:uiPriority w:val="0"/>
    <w:rPr>
      <w:rFonts w:ascii="宋体" w:hAnsi="宋体" w:eastAsia="宋体" w:cs="Times New Roman"/>
      <w:kern w:val="0"/>
      <w:szCs w:val="28"/>
    </w:rPr>
  </w:style>
  <w:style w:type="paragraph" w:customStyle="1" w:styleId="18">
    <w:name w:val="表内容"/>
    <w:link w:val="19"/>
    <w:qFormat/>
    <w:uiPriority w:val="0"/>
    <w:pPr>
      <w:spacing w:before="60" w:after="60"/>
    </w:pPr>
    <w:rPr>
      <w:rFonts w:ascii="宋体" w:hAnsi="宋体" w:eastAsia="宋体" w:cs="Times New Roman"/>
      <w:color w:val="0000FF"/>
      <w:sz w:val="21"/>
      <w:szCs w:val="28"/>
      <w:lang w:val="en-US" w:eastAsia="zh-CN" w:bidi="ar-SA"/>
    </w:rPr>
  </w:style>
  <w:style w:type="character" w:customStyle="1" w:styleId="19">
    <w:name w:val="表内容 字符"/>
    <w:basedOn w:val="11"/>
    <w:link w:val="18"/>
    <w:qFormat/>
    <w:uiPriority w:val="0"/>
    <w:rPr>
      <w:rFonts w:ascii="宋体" w:hAnsi="宋体" w:eastAsia="宋体" w:cs="Times New Roman"/>
      <w:color w:val="0000FF"/>
      <w:kern w:val="0"/>
      <w:szCs w:val="28"/>
    </w:rPr>
  </w:style>
  <w:style w:type="paragraph" w:customStyle="1" w:styleId="20">
    <w:name w:val="联系方式"/>
    <w:qFormat/>
    <w:uiPriority w:val="0"/>
    <w:pPr>
      <w:adjustRightInd w:val="0"/>
      <w:snapToGrid w:val="0"/>
    </w:pPr>
    <w:rPr>
      <w:rFonts w:ascii="微软雅黑" w:hAnsi="微软雅黑" w:eastAsia="微软雅黑" w:cs="Times New Roman"/>
      <w:sz w:val="21"/>
      <w:szCs w:val="28"/>
      <w:lang w:val="en-US" w:eastAsia="zh-CN" w:bidi="ar-SA"/>
    </w:rPr>
  </w:style>
  <w:style w:type="character" w:customStyle="1" w:styleId="21">
    <w:name w:val="页眉 字符"/>
    <w:basedOn w:val="11"/>
    <w:link w:val="8"/>
    <w:qFormat/>
    <w:uiPriority w:val="0"/>
    <w:rPr>
      <w:rFonts w:ascii="宋体" w:hAnsi="宋体" w:eastAsia="宋体"/>
      <w:kern w:val="0"/>
      <w:sz w:val="18"/>
      <w:szCs w:val="18"/>
    </w:rPr>
  </w:style>
  <w:style w:type="character" w:customStyle="1" w:styleId="22">
    <w:name w:val="页脚 字符"/>
    <w:basedOn w:val="11"/>
    <w:link w:val="7"/>
    <w:qFormat/>
    <w:uiPriority w:val="0"/>
    <w:rPr>
      <w:rFonts w:ascii="宋体" w:hAnsi="宋体" w:eastAsia="宋体"/>
      <w:kern w:val="0"/>
      <w:sz w:val="18"/>
      <w:szCs w:val="18"/>
    </w:rPr>
  </w:style>
  <w:style w:type="character" w:customStyle="1" w:styleId="23">
    <w:name w:val="批注文字 字符"/>
    <w:basedOn w:val="11"/>
    <w:link w:val="5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1"/>
    <w:link w:val="6"/>
    <w:qFormat/>
    <w:uiPriority w:val="0"/>
    <w:rPr>
      <w:sz w:val="18"/>
      <w:szCs w:val="18"/>
    </w:rPr>
  </w:style>
  <w:style w:type="paragraph" w:styleId="25">
    <w:name w:val="List Paragraph"/>
    <w:basedOn w:val="1"/>
    <w:qFormat/>
    <w:uiPriority w:val="34"/>
    <w:pPr>
      <w:spacing w:line="240" w:lineRule="atLeast"/>
      <w:ind w:firstLine="420" w:firstLineChars="200"/>
      <w:jc w:val="left"/>
    </w:pPr>
    <w:rPr>
      <w:kern w:val="0"/>
      <w:szCs w:val="28"/>
    </w:rPr>
  </w:style>
  <w:style w:type="character" w:customStyle="1" w:styleId="26">
    <w:name w:val="gray1"/>
    <w:basedOn w:val="11"/>
    <w:qFormat/>
    <w:uiPriority w:val="0"/>
  </w:style>
  <w:style w:type="paragraph" w:customStyle="1" w:styleId="27">
    <w:name w:val="_Style 13"/>
    <w:qFormat/>
    <w:uiPriority w:val="0"/>
    <w:pPr>
      <w:spacing w:before="50" w:beforeLines="50" w:after="120" w:line="400" w:lineRule="exact"/>
      <w:ind w:firstLine="723" w:firstLineChars="200"/>
    </w:pPr>
    <w:rPr>
      <w:rFonts w:ascii="Times New Roman" w:hAnsi="Times New Roman" w:eastAsia="宋体" w:cs="Arial"/>
      <w:sz w:val="21"/>
      <w:szCs w:val="22"/>
      <w:lang w:val="en-US" w:eastAsia="zh-CN" w:bidi="ar-SA"/>
    </w:rPr>
  </w:style>
  <w:style w:type="character" w:customStyle="1" w:styleId="28">
    <w:name w:val="批注主题 字符"/>
    <w:basedOn w:val="23"/>
    <w:link w:val="9"/>
    <w:qFormat/>
    <w:uiPriority w:val="0"/>
    <w:rPr>
      <w:rFonts w:ascii="宋体" w:hAnsi="宋体" w:eastAsia="宋体" w:cstheme="minorBidi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704</Characters>
  <Lines>21</Lines>
  <Paragraphs>6</Paragraphs>
  <TotalTime>0</TotalTime>
  <ScaleCrop>false</ScaleCrop>
  <LinksUpToDate>false</LinksUpToDate>
  <CharactersWithSpaces>715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2025-02-24T17:43:00Z</dcterms:created>
  <dc:creator>Windows 用户</dc:creator>
  <cp:lastModifiedBy>gxxc</cp:lastModifiedBy>
  <cp:lastPrinted>2025-09-29T00:38:00Z</cp:lastPrinted>
  <dcterms:modified xsi:type="dcterms:W3CDTF">2025-12-25T10:38:51Z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3A20BA667CA34B0FA0BDD80A13D3A12B_13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